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C6" w:rsidRPr="00692C20" w:rsidRDefault="007D31C6" w:rsidP="007D31C6">
      <w:pPr>
        <w:pStyle w:val="Titre"/>
        <w:rPr>
          <w:lang w:eastAsia="en-US"/>
        </w:rPr>
      </w:pPr>
      <w:r w:rsidRPr="00692C20">
        <w:rPr>
          <w:lang w:eastAsia="en-US"/>
        </w:rPr>
        <w:t xml:space="preserve">RESSOURCE </w:t>
      </w:r>
      <w:r>
        <w:rPr>
          <w:lang w:eastAsia="en-US"/>
        </w:rPr>
        <w:t>– DELAIS MOYENS DE REGLEMENTS</w:t>
      </w:r>
    </w:p>
    <w:p w:rsidR="007D31C6" w:rsidRDefault="00446D62" w:rsidP="007D31C6">
      <w:pPr>
        <w:ind w:right="0"/>
        <w:jc w:val="both"/>
        <w:rPr>
          <w:sz w:val="20"/>
          <w:szCs w:val="20"/>
        </w:rPr>
      </w:pPr>
      <w:r>
        <w:rPr>
          <w:sz w:val="20"/>
          <w:szCs w:val="20"/>
        </w:rPr>
        <w:t>Cette ressource se compose d’éléments concernant :</w:t>
      </w:r>
    </w:p>
    <w:p w:rsidR="00CE6F07" w:rsidRDefault="00CE6F07" w:rsidP="007D31C6">
      <w:pPr>
        <w:ind w:right="0"/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Schéma de la gestion du risque client ;</w:t>
      </w:r>
    </w:p>
    <w:p w:rsidR="00446D62" w:rsidRDefault="00446D62" w:rsidP="007D31C6">
      <w:pPr>
        <w:ind w:right="0"/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Le délai moyen des règlements clients ;</w:t>
      </w:r>
    </w:p>
    <w:p w:rsidR="00446D62" w:rsidRDefault="00446D62" w:rsidP="007D31C6">
      <w:pPr>
        <w:ind w:right="0"/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F0"/>
      </w:r>
      <w:r w:rsidR="002F2E74">
        <w:rPr>
          <w:sz w:val="20"/>
          <w:szCs w:val="20"/>
        </w:rPr>
        <w:t xml:space="preserve"> L</w:t>
      </w:r>
      <w:r>
        <w:rPr>
          <w:sz w:val="20"/>
          <w:szCs w:val="20"/>
        </w:rPr>
        <w:t>e délai moyen des règlements fournisseurs ;</w:t>
      </w:r>
    </w:p>
    <w:p w:rsidR="00446D62" w:rsidRDefault="00446D62" w:rsidP="007D31C6">
      <w:pPr>
        <w:ind w:right="0"/>
        <w:jc w:val="both"/>
        <w:rPr>
          <w:sz w:val="20"/>
          <w:szCs w:val="20"/>
        </w:rPr>
      </w:pPr>
      <w:r>
        <w:rPr>
          <w:sz w:val="20"/>
          <w:szCs w:val="20"/>
        </w:rPr>
        <w:sym w:font="Wingdings" w:char="F0F0"/>
      </w:r>
      <w:r>
        <w:rPr>
          <w:sz w:val="20"/>
          <w:szCs w:val="20"/>
        </w:rPr>
        <w:t xml:space="preserve"> Les délais de paiement.</w:t>
      </w:r>
    </w:p>
    <w:p w:rsidR="00446D62" w:rsidRDefault="00446D62" w:rsidP="007D31C6">
      <w:pPr>
        <w:ind w:right="0"/>
        <w:jc w:val="both"/>
        <w:rPr>
          <w:sz w:val="20"/>
          <w:szCs w:val="20"/>
        </w:rPr>
      </w:pPr>
    </w:p>
    <w:p w:rsidR="00CE6F07" w:rsidRDefault="00CE6F07" w:rsidP="007D31C6">
      <w:pPr>
        <w:ind w:right="0"/>
        <w:jc w:val="both"/>
        <w:rPr>
          <w:sz w:val="20"/>
          <w:szCs w:val="20"/>
        </w:rPr>
      </w:pPr>
    </w:p>
    <w:p w:rsidR="00CE6F07" w:rsidRPr="00CE6F07" w:rsidRDefault="00CE6F07" w:rsidP="00CE6F07">
      <w:pPr>
        <w:pStyle w:val="Titre1"/>
        <w:numPr>
          <w:ilvl w:val="0"/>
          <w:numId w:val="2"/>
        </w:numPr>
        <w:rPr>
          <w:color w:val="1F497D" w:themeColor="text2"/>
        </w:rPr>
      </w:pPr>
      <w:r>
        <w:rPr>
          <w:color w:val="1F497D" w:themeColor="text2"/>
        </w:rPr>
        <w:t xml:space="preserve"> </w:t>
      </w:r>
      <w:r w:rsidRPr="00CE6F07">
        <w:rPr>
          <w:color w:val="1F497D" w:themeColor="text2"/>
        </w:rPr>
        <w:t xml:space="preserve">Extrait des cahiers de l'Académie des Sciences et Techniques Comptables et Financières n° 19. </w:t>
      </w:r>
    </w:p>
    <w:p w:rsidR="00CE6F07" w:rsidRDefault="00CE6F07" w:rsidP="00CE6F07">
      <w:r>
        <w:rPr>
          <w:noProof/>
          <w:lang w:eastAsia="fr-FR"/>
        </w:rPr>
        <w:drawing>
          <wp:inline distT="0" distB="0" distL="0" distR="0">
            <wp:extent cx="5760720" cy="6036945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36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F07" w:rsidRDefault="00CE6F07" w:rsidP="007D31C6">
      <w:pPr>
        <w:ind w:right="0"/>
        <w:jc w:val="both"/>
        <w:rPr>
          <w:sz w:val="20"/>
          <w:szCs w:val="20"/>
        </w:rPr>
      </w:pPr>
    </w:p>
    <w:p w:rsidR="00CE6F07" w:rsidRDefault="00CE6F07" w:rsidP="007D31C6">
      <w:pPr>
        <w:ind w:right="0"/>
        <w:jc w:val="both"/>
        <w:rPr>
          <w:sz w:val="20"/>
          <w:szCs w:val="20"/>
        </w:rPr>
      </w:pPr>
    </w:p>
    <w:p w:rsidR="007D31C6" w:rsidRPr="00931891" w:rsidRDefault="007D31C6" w:rsidP="007D31C6">
      <w:pPr>
        <w:pStyle w:val="Titre1"/>
        <w:numPr>
          <w:ilvl w:val="0"/>
          <w:numId w:val="2"/>
        </w:numPr>
        <w:rPr>
          <w:color w:val="1F497D" w:themeColor="text2"/>
        </w:rPr>
      </w:pPr>
      <w:r>
        <w:rPr>
          <w:color w:val="1F497D" w:themeColor="text2"/>
        </w:rPr>
        <w:t xml:space="preserve"> </w:t>
      </w:r>
      <w:r w:rsidRPr="00931891">
        <w:rPr>
          <w:color w:val="1F497D" w:themeColor="text2"/>
        </w:rPr>
        <w:t>Le délai moyen des règlements clients</w:t>
      </w:r>
    </w:p>
    <w:p w:rsidR="007D31C6" w:rsidRPr="00E6059B" w:rsidRDefault="007D31C6" w:rsidP="007D31C6">
      <w:pPr>
        <w:ind w:right="0"/>
        <w:jc w:val="both"/>
        <w:rPr>
          <w:sz w:val="20"/>
          <w:szCs w:val="20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7D31C6" w:rsidRPr="00931891" w:rsidTr="008373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31C6" w:rsidRPr="00931891" w:rsidRDefault="007D31C6" w:rsidP="008373EA">
            <w:pPr>
              <w:ind w:right="0"/>
              <w:jc w:val="both"/>
              <w:rPr>
                <w:rFonts w:eastAsia="Times New Roman" w:cs="Times New Roman"/>
                <w:lang w:eastAsia="fr-FR"/>
              </w:rPr>
            </w:pPr>
            <w:r w:rsidRPr="00931891">
              <w:rPr>
                <w:rFonts w:eastAsia="Times New Roman" w:cs="Times New Roman"/>
                <w:b/>
                <w:bCs/>
                <w:lang w:eastAsia="fr-FR"/>
              </w:rPr>
              <w:t>Le délai clients</w:t>
            </w:r>
            <w:r w:rsidRPr="00931891">
              <w:rPr>
                <w:rFonts w:eastAsia="Times New Roman" w:cs="Times New Roman"/>
                <w:lang w:eastAsia="fr-FR"/>
              </w:rPr>
              <w:t xml:space="preserve"> correspond au </w:t>
            </w:r>
            <w:r w:rsidRPr="00931891">
              <w:rPr>
                <w:rFonts w:eastAsia="Times New Roman" w:cs="Times New Roman"/>
                <w:b/>
                <w:bCs/>
                <w:lang w:eastAsia="fr-FR"/>
              </w:rPr>
              <w:t>délai moyen d'encaissement des règlements des clients</w:t>
            </w:r>
            <w:r w:rsidRPr="00931891">
              <w:rPr>
                <w:rFonts w:eastAsia="Times New Roman" w:cs="Times New Roman"/>
                <w:lang w:eastAsia="fr-FR"/>
              </w:rPr>
              <w:t xml:space="preserve">, en tenant compte des délais eux-mêmes accordés par l'entreprise. Plus ce délai est important, plus la </w:t>
            </w:r>
            <w:hyperlink r:id="rId6" w:tooltip="Lien vers le lexique pour le mot trésorerie (nouvelle fenetre)" w:history="1">
              <w:r w:rsidRPr="00931891">
                <w:rPr>
                  <w:rFonts w:eastAsia="Times New Roman" w:cs="Times New Roman"/>
                  <w:lang w:eastAsia="fr-FR"/>
                </w:rPr>
                <w:t>trésorerie</w:t>
              </w:r>
            </w:hyperlink>
            <w:r w:rsidRPr="00931891">
              <w:rPr>
                <w:rFonts w:eastAsia="Times New Roman" w:cs="Times New Roman"/>
                <w:lang w:eastAsia="fr-FR"/>
              </w:rPr>
              <w:t xml:space="preserve"> peut se trouver fragilisée. L’entreprise est amenée à financer elle même ou par l'intermédiaire de sa </w:t>
            </w:r>
            <w:hyperlink r:id="rId7" w:tooltip="Lien vers le lexique pour le mot banque (nouvelle fenetre)" w:history="1">
              <w:r w:rsidRPr="00931891">
                <w:rPr>
                  <w:rFonts w:eastAsia="Times New Roman" w:cs="Times New Roman"/>
                  <w:lang w:eastAsia="fr-FR"/>
                </w:rPr>
                <w:t>banque</w:t>
              </w:r>
            </w:hyperlink>
            <w:r w:rsidRPr="00931891">
              <w:rPr>
                <w:rFonts w:eastAsia="Times New Roman" w:cs="Times New Roman"/>
                <w:lang w:eastAsia="fr-FR"/>
              </w:rPr>
              <w:t>, son poste clients.</w:t>
            </w:r>
          </w:p>
        </w:tc>
      </w:tr>
    </w:tbl>
    <w:p w:rsidR="007D31C6" w:rsidRPr="00931891" w:rsidRDefault="007D31C6" w:rsidP="007D31C6">
      <w:pPr>
        <w:ind w:right="0"/>
        <w:rPr>
          <w:rFonts w:eastAsia="Times New Roman" w:cs="Times New Roman"/>
          <w:lang w:eastAsia="fr-FR"/>
        </w:rPr>
      </w:pPr>
    </w:p>
    <w:p w:rsidR="007D31C6" w:rsidRPr="00931891" w:rsidRDefault="007D31C6" w:rsidP="007D31C6">
      <w:pPr>
        <w:ind w:right="0"/>
        <w:rPr>
          <w:rFonts w:eastAsia="Times New Roman" w:cs="Times New Roman"/>
          <w:lang w:eastAsia="fr-FR"/>
        </w:rPr>
      </w:pPr>
      <w:r w:rsidRPr="00931891">
        <w:rPr>
          <w:rFonts w:eastAsia="Times New Roman" w:cs="Times New Roman"/>
          <w:b/>
          <w:bCs/>
          <w:lang w:eastAsia="fr-FR"/>
        </w:rPr>
        <w:t>Le délai clients</w:t>
      </w:r>
      <w:r w:rsidRPr="00931891">
        <w:rPr>
          <w:rFonts w:eastAsia="Times New Roman" w:cs="Times New Roman"/>
          <w:lang w:eastAsia="fr-FR"/>
        </w:rPr>
        <w:t xml:space="preserve"> se calcule selon la formule suivante :</w:t>
      </w:r>
    </w:p>
    <w:p w:rsidR="007D31C6" w:rsidRPr="00931891" w:rsidRDefault="007D31C6" w:rsidP="007D31C6">
      <w:pPr>
        <w:ind w:right="0"/>
        <w:jc w:val="right"/>
        <w:rPr>
          <w:rFonts w:eastAsia="Times New Roman" w:cs="Times New Roman"/>
          <w:b/>
          <w:lang w:eastAsia="fr-FR"/>
        </w:rPr>
      </w:pPr>
      <w:r w:rsidRPr="00931891">
        <w:rPr>
          <w:rFonts w:eastAsia="Times New Roman" w:cs="Times New Roman"/>
          <w:b/>
          <w:lang w:eastAsia="fr-FR"/>
        </w:rPr>
        <w:t>(Créances clients TTC / Chiffre d'affaires TTC) x 360 jours</w:t>
      </w:r>
    </w:p>
    <w:p w:rsidR="007D31C6" w:rsidRDefault="007D31C6" w:rsidP="007D31C6">
      <w:pPr>
        <w:ind w:right="0"/>
        <w:rPr>
          <w:rFonts w:eastAsia="Times New Roman" w:cs="Times New Roman"/>
          <w:lang w:eastAsia="fr-FR"/>
        </w:rPr>
      </w:pPr>
    </w:p>
    <w:p w:rsidR="007D31C6" w:rsidRDefault="007D31C6" w:rsidP="007D31C6">
      <w:pPr>
        <w:ind w:right="0"/>
        <w:rPr>
          <w:rFonts w:eastAsia="Times New Roman" w:cs="Times New Roman"/>
          <w:lang w:eastAsia="fr-FR"/>
        </w:rPr>
      </w:pPr>
      <w:r>
        <w:rPr>
          <w:rFonts w:eastAsia="Times New Roman" w:cs="Times New Roman"/>
          <w:lang w:eastAsia="fr-FR"/>
        </w:rPr>
        <w:t>On peut calculer un délai clients (par trimestre, par mois), numérateur et dénominateur sont alors ramenés à la périodicité correspondante.</w:t>
      </w:r>
    </w:p>
    <w:p w:rsidR="007D31C6" w:rsidRDefault="007D31C6" w:rsidP="007D31C6">
      <w:pPr>
        <w:ind w:right="0"/>
        <w:rPr>
          <w:rFonts w:eastAsia="Times New Roman" w:cs="Times New Roman"/>
          <w:lang w:eastAsia="fr-FR"/>
        </w:rPr>
      </w:pPr>
    </w:p>
    <w:p w:rsidR="007D31C6" w:rsidRPr="00931891" w:rsidRDefault="007D31C6" w:rsidP="007D31C6">
      <w:pPr>
        <w:ind w:right="0"/>
        <w:rPr>
          <w:rFonts w:eastAsia="Times New Roman" w:cs="Times New Roman"/>
          <w:lang w:eastAsia="fr-FR"/>
        </w:rPr>
      </w:pPr>
      <w:r w:rsidRPr="00931891">
        <w:rPr>
          <w:rFonts w:eastAsia="Times New Roman" w:cs="Times New Roman"/>
          <w:lang w:eastAsia="fr-FR"/>
        </w:rPr>
        <w:t>NB : Le délai clients est toujours exprimé en nombre de jours.</w:t>
      </w:r>
    </w:p>
    <w:p w:rsidR="007D31C6" w:rsidRDefault="007D31C6" w:rsidP="007D31C6">
      <w:pPr>
        <w:ind w:right="0"/>
        <w:jc w:val="both"/>
        <w:rPr>
          <w:sz w:val="20"/>
          <w:szCs w:val="20"/>
        </w:rPr>
      </w:pPr>
    </w:p>
    <w:p w:rsidR="007D31C6" w:rsidRDefault="00975382" w:rsidP="007D31C6">
      <w:pPr>
        <w:ind w:right="0"/>
        <w:jc w:val="both"/>
        <w:rPr>
          <w:sz w:val="20"/>
          <w:szCs w:val="20"/>
        </w:rPr>
      </w:pPr>
      <w:hyperlink r:id="rId8" w:history="1">
        <w:r w:rsidR="007D31C6" w:rsidRPr="00893B9B">
          <w:rPr>
            <w:rStyle w:val="Lienhypertexte"/>
            <w:sz w:val="20"/>
            <w:szCs w:val="20"/>
          </w:rPr>
          <w:t>http://www.netpme.fr/info-conseil-1/gestion-entreprise/comptabilite/fiche-conseil/40428-delai-moyen-encaissements-clients</w:t>
        </w:r>
      </w:hyperlink>
    </w:p>
    <w:p w:rsidR="007D31C6" w:rsidRDefault="007D31C6" w:rsidP="007D31C6">
      <w:pPr>
        <w:ind w:right="0"/>
        <w:jc w:val="both"/>
        <w:rPr>
          <w:sz w:val="20"/>
          <w:szCs w:val="20"/>
        </w:rPr>
      </w:pPr>
    </w:p>
    <w:p w:rsidR="007D31C6" w:rsidRDefault="007D31C6" w:rsidP="007D31C6">
      <w:pPr>
        <w:ind w:right="0"/>
        <w:jc w:val="both"/>
        <w:rPr>
          <w:sz w:val="20"/>
          <w:szCs w:val="20"/>
        </w:rPr>
      </w:pPr>
    </w:p>
    <w:p w:rsidR="007D31C6" w:rsidRPr="00931891" w:rsidRDefault="007D31C6" w:rsidP="007D31C6">
      <w:pPr>
        <w:pStyle w:val="Titre1"/>
        <w:numPr>
          <w:ilvl w:val="0"/>
          <w:numId w:val="2"/>
        </w:numPr>
        <w:rPr>
          <w:color w:val="1F497D" w:themeColor="text2"/>
        </w:rPr>
      </w:pPr>
      <w:r>
        <w:rPr>
          <w:color w:val="1F497D" w:themeColor="text2"/>
        </w:rPr>
        <w:t xml:space="preserve"> </w:t>
      </w:r>
      <w:r w:rsidRPr="00931891">
        <w:rPr>
          <w:color w:val="1F497D" w:themeColor="text2"/>
        </w:rPr>
        <w:t>Le délai moyen des règlements fournisseurs</w:t>
      </w:r>
    </w:p>
    <w:p w:rsidR="007D31C6" w:rsidRDefault="007D31C6" w:rsidP="007D31C6">
      <w:pPr>
        <w:ind w:right="0"/>
        <w:jc w:val="both"/>
        <w:rPr>
          <w:sz w:val="20"/>
          <w:szCs w:val="20"/>
        </w:rPr>
      </w:pPr>
    </w:p>
    <w:p w:rsidR="007D31C6" w:rsidRPr="00931891" w:rsidRDefault="007D31C6" w:rsidP="007D31C6">
      <w:pPr>
        <w:ind w:right="0"/>
        <w:jc w:val="both"/>
      </w:pPr>
      <w:r w:rsidRPr="00931891">
        <w:t>Le délai fournisseurs se calcule selon la formule suivante :</w:t>
      </w:r>
    </w:p>
    <w:p w:rsidR="007D31C6" w:rsidRPr="00931891" w:rsidRDefault="007D31C6" w:rsidP="007D31C6">
      <w:pPr>
        <w:ind w:right="0"/>
        <w:jc w:val="right"/>
        <w:rPr>
          <w:rFonts w:eastAsia="Times New Roman" w:cs="Times New Roman"/>
          <w:b/>
          <w:lang w:eastAsia="fr-FR"/>
        </w:rPr>
      </w:pPr>
      <w:r w:rsidRPr="00931891">
        <w:rPr>
          <w:rFonts w:eastAsia="Times New Roman" w:cs="Times New Roman"/>
          <w:b/>
          <w:lang w:eastAsia="fr-FR"/>
        </w:rPr>
        <w:t xml:space="preserve">(Dettes fournisseurs TTC / Achats TTC + Services extérieurs TTC) x 360 jours. </w:t>
      </w:r>
    </w:p>
    <w:p w:rsidR="007D31C6" w:rsidRPr="00931891" w:rsidRDefault="007D31C6" w:rsidP="007D31C6">
      <w:pPr>
        <w:ind w:right="0"/>
        <w:rPr>
          <w:rFonts w:eastAsia="Times New Roman" w:cs="Times New Roman"/>
          <w:lang w:eastAsia="fr-FR"/>
        </w:rPr>
      </w:pPr>
      <w:r w:rsidRPr="00931891">
        <w:rPr>
          <w:rFonts w:eastAsia="Times New Roman" w:cs="Times New Roman"/>
          <w:lang w:eastAsia="fr-FR"/>
        </w:rPr>
        <w:t>NB : Le délai fournisseurs est toujours exprimé en nombre de jours.</w:t>
      </w:r>
    </w:p>
    <w:p w:rsidR="007D31C6" w:rsidRPr="00931891" w:rsidRDefault="007D31C6" w:rsidP="007D31C6">
      <w:pPr>
        <w:ind w:right="0"/>
        <w:rPr>
          <w:rFonts w:eastAsia="Times New Roman" w:cs="Times New Roman"/>
          <w:lang w:eastAsia="fr-FR"/>
        </w:rPr>
      </w:pPr>
    </w:p>
    <w:p w:rsidR="007D31C6" w:rsidRDefault="007D31C6" w:rsidP="007D31C6">
      <w:pPr>
        <w:ind w:right="0"/>
        <w:jc w:val="both"/>
        <w:rPr>
          <w:rFonts w:eastAsia="Times New Roman" w:cs="Times New Roman"/>
          <w:lang w:eastAsia="fr-FR"/>
        </w:rPr>
      </w:pPr>
      <w:r w:rsidRPr="00931891">
        <w:rPr>
          <w:rFonts w:eastAsia="Times New Roman" w:cs="Times New Roman"/>
          <w:lang w:eastAsia="fr-FR"/>
        </w:rPr>
        <w:t>Les dettes fournisseurs figurant au numérateur sont égales à la moyenne des dettes observées à l’ouverture et à la clôture de l’exercice.</w:t>
      </w:r>
    </w:p>
    <w:p w:rsidR="007D31C6" w:rsidRPr="00931891" w:rsidRDefault="007D31C6" w:rsidP="007D31C6">
      <w:pPr>
        <w:ind w:right="0"/>
        <w:jc w:val="both"/>
      </w:pPr>
    </w:p>
    <w:p w:rsidR="007D31C6" w:rsidRPr="00931891" w:rsidRDefault="007D31C6" w:rsidP="007D31C6">
      <w:pPr>
        <w:ind w:right="0"/>
      </w:pPr>
      <w:r w:rsidRPr="00931891">
        <w:rPr>
          <w:rFonts w:eastAsia="Times New Roman" w:cs="Times New Roman"/>
          <w:lang w:eastAsia="fr-FR"/>
        </w:rPr>
        <w:t>Cet indicateur exprime le nombre de jours de crédit qu'une entreprise obtient de ses fournisseurs.</w:t>
      </w:r>
    </w:p>
    <w:p w:rsidR="007D31C6" w:rsidRPr="00931891" w:rsidRDefault="007D31C6" w:rsidP="007D31C6">
      <w:pPr>
        <w:ind w:right="0"/>
        <w:jc w:val="both"/>
      </w:pPr>
    </w:p>
    <w:p w:rsidR="004F667F" w:rsidRDefault="00975382" w:rsidP="007D31C6">
      <w:hyperlink r:id="rId9" w:history="1">
        <w:r w:rsidR="007D31C6" w:rsidRPr="00931891">
          <w:rPr>
            <w:rStyle w:val="Lienhypertexte"/>
          </w:rPr>
          <w:t>http://www.netpme.fr/info-conseil-1/gestion-entreprise/comptabilite/fiche-conseil/40426-delai-moyen-reglements-fournisseurs</w:t>
        </w:r>
      </w:hyperlink>
    </w:p>
    <w:p w:rsidR="00446D62" w:rsidRDefault="00446D62">
      <w:r>
        <w:br w:type="page"/>
      </w:r>
    </w:p>
    <w:p w:rsidR="00446D62" w:rsidRDefault="00446D62"/>
    <w:p w:rsidR="00446D62" w:rsidRPr="00931891" w:rsidRDefault="00446D62" w:rsidP="00446D62">
      <w:pPr>
        <w:pStyle w:val="Titre1"/>
        <w:numPr>
          <w:ilvl w:val="0"/>
          <w:numId w:val="2"/>
        </w:numPr>
        <w:rPr>
          <w:color w:val="1F497D" w:themeColor="text2"/>
        </w:rPr>
      </w:pPr>
      <w:r>
        <w:rPr>
          <w:color w:val="1F497D" w:themeColor="text2"/>
        </w:rPr>
        <w:t xml:space="preserve"> Les</w:t>
      </w:r>
      <w:r w:rsidRPr="00931891">
        <w:rPr>
          <w:color w:val="1F497D" w:themeColor="text2"/>
        </w:rPr>
        <w:t xml:space="preserve"> délai</w:t>
      </w:r>
      <w:r>
        <w:rPr>
          <w:color w:val="1F497D" w:themeColor="text2"/>
        </w:rPr>
        <w:t>s de paiement</w:t>
      </w:r>
    </w:p>
    <w:p w:rsidR="00446D62" w:rsidRDefault="00446D62">
      <w:r>
        <w:t>Extrait « Les cahiers de l’académie »</w:t>
      </w:r>
      <w:r w:rsidR="005158C9">
        <w:t xml:space="preserve"> – Ordre des </w:t>
      </w:r>
      <w:proofErr w:type="spellStart"/>
      <w:r w:rsidR="005158C9">
        <w:t>Experts–Comptables</w:t>
      </w:r>
      <w:proofErr w:type="spellEnd"/>
    </w:p>
    <w:p w:rsidR="00446D62" w:rsidRPr="00446D62" w:rsidRDefault="00446D62"/>
    <w:p w:rsidR="00446D62" w:rsidRPr="00CF38E3" w:rsidRDefault="00446D62" w:rsidP="00446D62">
      <w:pPr>
        <w:autoSpaceDE w:val="0"/>
        <w:autoSpaceDN w:val="0"/>
        <w:adjustRightInd w:val="0"/>
        <w:ind w:right="0"/>
        <w:rPr>
          <w:rFonts w:cs="RotisSansSerif-Bold"/>
          <w:b/>
          <w:bCs/>
          <w:sz w:val="28"/>
          <w:szCs w:val="28"/>
        </w:rPr>
      </w:pPr>
      <w:r w:rsidRPr="00CF38E3">
        <w:rPr>
          <w:rFonts w:cs="RotisSansSerif-Bold"/>
          <w:b/>
          <w:bCs/>
          <w:sz w:val="28"/>
          <w:szCs w:val="28"/>
        </w:rPr>
        <w:t>Les délais de paiement</w:t>
      </w: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La négociation des délais de paiement relève en principe de la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liberté contractuelle, sous réserve des dispositions législatives ou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règlementaires. Mais de plus en plus, les délais de paiement entre</w:t>
      </w:r>
      <w:r>
        <w:rPr>
          <w:rFonts w:cs="RotisSansSerif"/>
        </w:rPr>
        <w:t xml:space="preserve"> p</w:t>
      </w:r>
      <w:r w:rsidRPr="00446D62">
        <w:rPr>
          <w:rFonts w:cs="RotisSansSerif"/>
        </w:rPr>
        <w:t>rofessionnels échappent au principe de liberté contractuelle. La loi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de modernisation de l’économie (dite « LME », loi n°2008-776 du 4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août 2008) comporte diverses dispositions destinées à réduire les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délais de paiement interentreprises à compter du 1er janvier 2009.</w:t>
      </w: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Aujourd’hui, les délais de paiement sont :</w:t>
      </w: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• soit fixés contractuellement par les parties dans les limites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légales,</w:t>
      </w: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• soit imposés par la loi.</w:t>
      </w: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L’article L. 441-6 du Code de commerce prévoit en effet que le délai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 xml:space="preserve">convenu entre les parties </w:t>
      </w:r>
      <w:r w:rsidRPr="00446D62">
        <w:rPr>
          <w:rFonts w:cs="RotisSansSerif-Italic"/>
          <w:i/>
          <w:iCs/>
        </w:rPr>
        <w:t>(« tout acheteur de produits ou tout</w:t>
      </w:r>
      <w:r>
        <w:rPr>
          <w:rFonts w:cs="RotisSansSerif"/>
        </w:rPr>
        <w:t xml:space="preserve"> </w:t>
      </w:r>
      <w:r w:rsidRPr="00446D62">
        <w:rPr>
          <w:rFonts w:cs="RotisSansSerif-Italic"/>
          <w:i/>
          <w:iCs/>
        </w:rPr>
        <w:t>demandeur de prestations de services » et « tout producteur,</w:t>
      </w:r>
      <w:r>
        <w:rPr>
          <w:rFonts w:cs="RotisSansSerif-Italic"/>
          <w:i/>
          <w:iCs/>
        </w:rPr>
        <w:t xml:space="preserve"> </w:t>
      </w:r>
      <w:r w:rsidRPr="00446D62">
        <w:rPr>
          <w:rFonts w:cs="RotisSansSerif-Italic"/>
          <w:i/>
          <w:iCs/>
        </w:rPr>
        <w:t xml:space="preserve">prestataire de services, grossiste ou importateur ») </w:t>
      </w:r>
      <w:r w:rsidRPr="00446D62">
        <w:rPr>
          <w:rFonts w:cs="RotisSansSerif"/>
        </w:rPr>
        <w:t>pour régler les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sommes dues ne peut désormais dépasser 45 jours fin de mois ou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soixante jours à compter de la date d’émission de la facture.</w:t>
      </w: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La loi laisse le choix aux parties contractantes entre les deux délais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maximum précités ou de convenir d’un délai plus court. La DGCCRF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comptabilise les 45 jours à compter de la date d’émission de la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facture. La date limite de paiement intervient ensuite à la fin du mois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civil au cours duquel expire ce délai. Il est aussi admis de comptabiliser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en ajoutant 45 jours à la fin du mois d’émission de la facture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conformément aux usages habituels. (cf. note d’information, DGCCRF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n°2009-28 du 2 mars 2009)</w:t>
      </w: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La loi LME prévoit en outre la possibilité de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conclure des accords interprofessionnels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dérogatoires autorisant un créancier à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accorder à son débiteur des délais plus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 xml:space="preserve">longs. </w:t>
      </w:r>
    </w:p>
    <w:p w:rsidR="00446D62" w:rsidRP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"/>
        </w:rPr>
      </w:pPr>
      <w:r w:rsidRPr="00446D62">
        <w:rPr>
          <w:rFonts w:cs="RotisSansSerif"/>
        </w:rPr>
        <w:t>Ces accords dits de « branche »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doivent être homologués par décret du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ministre de l’économie après avis de</w:t>
      </w:r>
      <w:r>
        <w:rPr>
          <w:rFonts w:cs="RotisSansSerif"/>
        </w:rPr>
        <w:t xml:space="preserve"> </w:t>
      </w:r>
      <w:r w:rsidRPr="00446D62">
        <w:rPr>
          <w:rFonts w:cs="RotisSansSerif"/>
        </w:rPr>
        <w:t>l’Autorité de la concurrence.</w:t>
      </w: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-Bold"/>
          <w:b/>
          <w:bCs/>
        </w:rPr>
      </w:pPr>
    </w:p>
    <w:p w:rsidR="00446D62" w:rsidRDefault="00446D62" w:rsidP="00446D62">
      <w:pPr>
        <w:autoSpaceDE w:val="0"/>
        <w:autoSpaceDN w:val="0"/>
        <w:adjustRightInd w:val="0"/>
        <w:ind w:right="0"/>
        <w:jc w:val="both"/>
        <w:rPr>
          <w:rFonts w:cs="RotisSansSerif-Bold"/>
          <w:bCs/>
        </w:rPr>
      </w:pPr>
      <w:r w:rsidRPr="00446D62">
        <w:rPr>
          <w:rFonts w:cs="RotisSansSerif-Bold"/>
          <w:b/>
          <w:bCs/>
        </w:rPr>
        <w:t>Application : Il convient de distinguer selon que la facture est</w:t>
      </w:r>
      <w:r>
        <w:rPr>
          <w:rFonts w:cs="RotisSansSerif-Bold"/>
          <w:b/>
          <w:bCs/>
        </w:rPr>
        <w:t xml:space="preserve"> </w:t>
      </w:r>
      <w:r w:rsidRPr="00446D62">
        <w:rPr>
          <w:rFonts w:cs="RotisSansSerif-Bold"/>
          <w:b/>
          <w:bCs/>
        </w:rPr>
        <w:t>émise dans la première ou la seconde quinzaine du mois car le</w:t>
      </w:r>
      <w:r>
        <w:rPr>
          <w:rFonts w:cs="RotisSansSerif-Bold"/>
          <w:b/>
          <w:bCs/>
        </w:rPr>
        <w:t xml:space="preserve"> </w:t>
      </w:r>
      <w:r w:rsidRPr="00446D62">
        <w:rPr>
          <w:rFonts w:cs="RotisSansSerif-Bold"/>
          <w:b/>
          <w:bCs/>
        </w:rPr>
        <w:t>choix de la méthode de calcul aura une incidence sur le délai de</w:t>
      </w:r>
      <w:r>
        <w:rPr>
          <w:rFonts w:cs="RotisSansSerif-Bold"/>
          <w:b/>
          <w:bCs/>
        </w:rPr>
        <w:t xml:space="preserve"> </w:t>
      </w:r>
      <w:r w:rsidRPr="00446D62">
        <w:rPr>
          <w:rFonts w:cs="RotisSansSerif-Bold"/>
          <w:b/>
          <w:bCs/>
        </w:rPr>
        <w:t>paiement dont dispose en réalité le débiteur.</w:t>
      </w:r>
    </w:p>
    <w:p w:rsidR="00446D62" w:rsidRDefault="00446D62" w:rsidP="00446D62">
      <w:pPr>
        <w:autoSpaceDE w:val="0"/>
        <w:autoSpaceDN w:val="0"/>
        <w:adjustRightInd w:val="0"/>
        <w:ind w:right="0"/>
        <w:rPr>
          <w:rFonts w:cs="RotisSansSerif-Bold"/>
          <w:bCs/>
        </w:rPr>
      </w:pPr>
    </w:p>
    <w:p w:rsidR="00446D62" w:rsidRDefault="00446D62" w:rsidP="00446D62">
      <w:pPr>
        <w:autoSpaceDE w:val="0"/>
        <w:autoSpaceDN w:val="0"/>
        <w:adjustRightInd w:val="0"/>
        <w:ind w:right="0"/>
        <w:jc w:val="center"/>
        <w:rPr>
          <w:rFonts w:cs="RotisSansSerif-Bold"/>
          <w:bCs/>
        </w:rPr>
      </w:pPr>
      <w:r>
        <w:rPr>
          <w:rFonts w:cs="RotisSansSerif-Bold"/>
          <w:bCs/>
          <w:noProof/>
          <w:lang w:eastAsia="fr-FR"/>
        </w:rPr>
        <w:lastRenderedPageBreak/>
        <w:drawing>
          <wp:inline distT="0" distB="0" distL="0" distR="0">
            <wp:extent cx="6463119" cy="649065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6531" cy="6494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D62" w:rsidRPr="00446D62" w:rsidRDefault="00446D62" w:rsidP="00446D62">
      <w:pPr>
        <w:autoSpaceDE w:val="0"/>
        <w:autoSpaceDN w:val="0"/>
        <w:adjustRightInd w:val="0"/>
        <w:ind w:right="0"/>
      </w:pPr>
    </w:p>
    <w:sectPr w:rsidR="00446D62" w:rsidRPr="00446D62" w:rsidSect="009C6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16572"/>
    <w:multiLevelType w:val="multilevel"/>
    <w:tmpl w:val="873C7806"/>
    <w:lvl w:ilvl="0">
      <w:start w:val="1"/>
      <w:numFmt w:val="decimal"/>
      <w:lvlText w:val="%1 –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5F2238A"/>
    <w:multiLevelType w:val="multilevel"/>
    <w:tmpl w:val="873C7806"/>
    <w:lvl w:ilvl="0">
      <w:start w:val="1"/>
      <w:numFmt w:val="decimal"/>
      <w:lvlText w:val="%1 –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D31C6"/>
    <w:rsid w:val="000B0252"/>
    <w:rsid w:val="001473DF"/>
    <w:rsid w:val="00216BBE"/>
    <w:rsid w:val="002F2E74"/>
    <w:rsid w:val="00382142"/>
    <w:rsid w:val="00446D62"/>
    <w:rsid w:val="005158C9"/>
    <w:rsid w:val="007D31C6"/>
    <w:rsid w:val="00975382"/>
    <w:rsid w:val="009C64B1"/>
    <w:rsid w:val="00A35095"/>
    <w:rsid w:val="00AC784C"/>
    <w:rsid w:val="00C00EEC"/>
    <w:rsid w:val="00CE4CF6"/>
    <w:rsid w:val="00CE6F07"/>
    <w:rsid w:val="00CF38E3"/>
    <w:rsid w:val="00EE62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ind w:right="-5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C6"/>
  </w:style>
  <w:style w:type="paragraph" w:styleId="Titre1">
    <w:name w:val="heading 1"/>
    <w:basedOn w:val="Normal"/>
    <w:next w:val="Normal"/>
    <w:link w:val="Titre1Car"/>
    <w:uiPriority w:val="9"/>
    <w:qFormat/>
    <w:rsid w:val="007D31C6"/>
    <w:pPr>
      <w:keepNext/>
      <w:keepLines/>
      <w:numPr>
        <w:numId w:val="1"/>
      </w:numPr>
      <w:shd w:val="clear" w:color="auto" w:fill="DBE5F1" w:themeFill="accent1" w:themeFillTint="33"/>
      <w:spacing w:before="120" w:after="120"/>
      <w:ind w:right="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link w:val="Titre2Car"/>
    <w:uiPriority w:val="9"/>
    <w:qFormat/>
    <w:rsid w:val="007D31C6"/>
    <w:pPr>
      <w:spacing w:before="100" w:beforeAutospacing="1" w:after="100" w:afterAutospacing="1"/>
      <w:ind w:right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31C6"/>
    <w:rPr>
      <w:rFonts w:eastAsiaTheme="majorEastAsia" w:cstheme="majorBidi"/>
      <w:b/>
      <w:bCs/>
      <w:sz w:val="28"/>
      <w:szCs w:val="28"/>
      <w:u w:val="single"/>
      <w:shd w:val="clear" w:color="auto" w:fill="DBE5F1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7D31C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7D31C6"/>
    <w:pPr>
      <w:pBdr>
        <w:bottom w:val="single" w:sz="8" w:space="4" w:color="4F81BD" w:themeColor="accent1"/>
      </w:pBdr>
      <w:spacing w:after="300"/>
      <w:ind w:right="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7D31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Lienhypertexte">
    <w:name w:val="Hyperlink"/>
    <w:basedOn w:val="Policepardfaut"/>
    <w:uiPriority w:val="99"/>
    <w:unhideWhenUsed/>
    <w:rsid w:val="007D31C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6D6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6D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tpme.fr/info-conseil-1/gestion-entreprise/comptabilite/fiche-conseil/40428-delai-moyen-encaissements-clien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sclesdelabanque.com/Web/Cdb/Entrepreneurs/Content.nsf/LexiqueByTitleWeb/banqu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sclesdelabanque.com/Web/Cdb/Entrepreneurs/Content.nsf/LexiqueByTitleWeb/tr%C3%A9sorerie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netpme.fr/info-conseil-1/gestion-entreprise/comptabilite/fiche-conseil/40426-delai-moyen-reglements-fournisseur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706</Words>
  <Characters>3883</Characters>
  <Application>Microsoft Office Word</Application>
  <DocSecurity>0</DocSecurity>
  <Lines>32</Lines>
  <Paragraphs>9</Paragraphs>
  <ScaleCrop>false</ScaleCrop>
  <Company/>
  <LinksUpToDate>false</LinksUpToDate>
  <CharactersWithSpaces>4580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Stéphane BESSIERE</dc:creator>
  <cp:lastModifiedBy>Stéphane BESSIERE</cp:lastModifiedBy>
  <cp:revision>6</cp:revision>
  <dcterms:created xsi:type="dcterms:W3CDTF">2014-11-20T11:02:00Z</dcterms:created>
  <dcterms:modified xsi:type="dcterms:W3CDTF">2014-11-20T15:20:00Z</dcterms:modified>
</cp:coreProperties>
</file>